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9A3" w:rsidRDefault="00694E7D">
      <w:r>
        <w:t xml:space="preserve">This deliverable was developed by participants in the Managing Multiple Projects class hosted in Chicago in October 2016.  </w:t>
      </w:r>
    </w:p>
    <w:p w:rsidR="00694E7D" w:rsidRDefault="00694E7D">
      <w:pPr>
        <w:pBdr>
          <w:bottom w:val="single" w:sz="12" w:space="1" w:color="auto"/>
        </w:pBdr>
      </w:pPr>
      <w:r>
        <w:t xml:space="preserve">It represents the protocols for data to be included in regular Earned Value Management System (EVMS) reports generated within the organization.  Specifically, the intent was to limit the variability of data shared in such reports, and to ensure that Estimates at Completion (EAC) and Estimates to Complete (ETC) were generated using common formats to enable the organization to determine their efficacy at predicting total final budgets. </w:t>
      </w:r>
    </w:p>
    <w:p w:rsidR="0038715A" w:rsidRDefault="0038715A"/>
    <w:p w:rsidR="00694E7D" w:rsidRDefault="00694E7D" w:rsidP="0038715A">
      <w:pPr>
        <w:pStyle w:val="ListParagraph"/>
        <w:numPr>
          <w:ilvl w:val="0"/>
          <w:numId w:val="1"/>
        </w:numPr>
      </w:pPr>
      <w:bookmarkStart w:id="0" w:name="_GoBack"/>
      <w:r>
        <w:t>EVMS shall be based on the work package level of the work breakdown structure.  The organization shall determine, in advance of its use, whether a task-oriented or a deliverables-oriented approach will be used consistently across projects</w:t>
      </w:r>
    </w:p>
    <w:p w:rsidR="00694E7D" w:rsidRDefault="00694E7D" w:rsidP="0038715A">
      <w:pPr>
        <w:pStyle w:val="ListParagraph"/>
        <w:numPr>
          <w:ilvl w:val="0"/>
          <w:numId w:val="1"/>
        </w:numPr>
      </w:pPr>
      <w:r>
        <w:t>(Cross reference documentation for deliverables?   MILHDBK 881)</w:t>
      </w:r>
    </w:p>
    <w:p w:rsidR="00694E7D" w:rsidRDefault="00694E7D" w:rsidP="0038715A">
      <w:pPr>
        <w:pStyle w:val="ListParagraph"/>
        <w:numPr>
          <w:ilvl w:val="0"/>
          <w:numId w:val="1"/>
        </w:numPr>
      </w:pPr>
      <w:r>
        <w:t>ETC shall be calculated and reported weekly</w:t>
      </w:r>
    </w:p>
    <w:p w:rsidR="00694E7D" w:rsidRDefault="00694E7D" w:rsidP="0038715A">
      <w:pPr>
        <w:pStyle w:val="ListParagraph"/>
        <w:numPr>
          <w:ilvl w:val="0"/>
          <w:numId w:val="1"/>
        </w:numPr>
      </w:pPr>
      <w:r>
        <w:t>ETC shall be calculated assuming that past performance is not inherently indicative of future results.  The outputs shall be developed using the formula:  BAC-EV</w:t>
      </w:r>
    </w:p>
    <w:p w:rsidR="00694E7D" w:rsidRDefault="00694E7D" w:rsidP="0038715A">
      <w:pPr>
        <w:pStyle w:val="ListParagraph"/>
        <w:numPr>
          <w:ilvl w:val="0"/>
          <w:numId w:val="1"/>
        </w:numPr>
      </w:pPr>
      <w:r>
        <w:t xml:space="preserve">Earned value claiming shall be done consistently across the project based on the approach appropriate to the project.  For small projects, percent-complete claiming is the best option.  For large (100-activity+) projects, 50/50 rules shall be applied. </w:t>
      </w:r>
    </w:p>
    <w:p w:rsidR="00694E7D" w:rsidRDefault="00694E7D" w:rsidP="0038715A">
      <w:pPr>
        <w:pStyle w:val="ListParagraph"/>
        <w:numPr>
          <w:ilvl w:val="0"/>
          <w:numId w:val="1"/>
        </w:numPr>
      </w:pPr>
      <w:r>
        <w:t>CPI shall be calculated as EV/AC</w:t>
      </w:r>
    </w:p>
    <w:p w:rsidR="00694E7D" w:rsidRDefault="00694E7D" w:rsidP="0038715A">
      <w:pPr>
        <w:pStyle w:val="ListParagraph"/>
        <w:numPr>
          <w:ilvl w:val="0"/>
          <w:numId w:val="1"/>
        </w:numPr>
      </w:pPr>
      <w:r>
        <w:t>SPI shall be calculated as EV/PV</w:t>
      </w:r>
    </w:p>
    <w:p w:rsidR="00694E7D" w:rsidRDefault="00694E7D"/>
    <w:bookmarkEnd w:id="0"/>
    <w:p w:rsidR="00694E7D" w:rsidRDefault="00694E7D"/>
    <w:sectPr w:rsidR="00694E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6437EC"/>
    <w:multiLevelType w:val="hybridMultilevel"/>
    <w:tmpl w:val="1C5C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E7D"/>
    <w:rsid w:val="0038715A"/>
    <w:rsid w:val="00694E7D"/>
    <w:rsid w:val="00B03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456A6-ECDE-40F9-ABB8-38173E19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1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Pritchard</dc:creator>
  <cp:keywords/>
  <dc:description/>
  <cp:lastModifiedBy>Carl Pritchard</cp:lastModifiedBy>
  <cp:revision>2</cp:revision>
  <dcterms:created xsi:type="dcterms:W3CDTF">2016-10-14T01:37:00Z</dcterms:created>
  <dcterms:modified xsi:type="dcterms:W3CDTF">2016-10-14T01:45:00Z</dcterms:modified>
</cp:coreProperties>
</file>